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30" w:firstLineChars="196"/>
        <w:rPr>
          <w:rFonts w:ascii="宋体" w:hAnsi="宋体" w:eastAsia="宋体"/>
          <w:b/>
          <w:sz w:val="32"/>
          <w:szCs w:val="32"/>
        </w:rPr>
      </w:pPr>
    </w:p>
    <w:p>
      <w:pPr>
        <w:snapToGrid w:val="0"/>
        <w:spacing w:line="360" w:lineRule="auto"/>
        <w:rPr>
          <w:rFonts w:ascii="仿宋" w:hAnsi="仿宋" w:eastAsia="仿宋"/>
          <w:b/>
          <w:szCs w:val="28"/>
        </w:rPr>
      </w:pPr>
      <w:r>
        <w:rPr>
          <w:rFonts w:hint="eastAsia" w:ascii="仿宋" w:hAnsi="仿宋" w:eastAsia="仿宋"/>
          <w:b/>
          <w:szCs w:val="28"/>
        </w:rPr>
        <w:t>附表1</w:t>
      </w:r>
    </w:p>
    <w:p>
      <w:pPr>
        <w:snapToGrid w:val="0"/>
        <w:spacing w:line="360" w:lineRule="auto"/>
        <w:jc w:val="center"/>
        <w:rPr>
          <w:rFonts w:ascii="宋体" w:hAnsi="宋体" w:eastAsia="宋体"/>
          <w:b/>
          <w:sz w:val="32"/>
          <w:szCs w:val="32"/>
        </w:rPr>
      </w:pPr>
      <w:r>
        <w:rPr>
          <w:rFonts w:hint="eastAsia" w:ascii="宋体" w:hAnsi="宋体" w:eastAsia="宋体"/>
          <w:b/>
          <w:sz w:val="32"/>
          <w:szCs w:val="32"/>
        </w:rPr>
        <w:t>协会标准项目建议书</w:t>
      </w:r>
    </w:p>
    <w:tbl>
      <w:tblPr>
        <w:tblStyle w:val="6"/>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1110"/>
        <w:gridCol w:w="540"/>
        <w:gridCol w:w="540"/>
        <w:gridCol w:w="1013"/>
        <w:gridCol w:w="801"/>
        <w:gridCol w:w="1113"/>
        <w:gridCol w:w="588"/>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203" w:type="dxa"/>
            <w:gridSpan w:val="4"/>
            <w:vAlign w:val="center"/>
          </w:tcPr>
          <w:p>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碳排放核算与报告要求  预制混凝土构件生产企业</w:t>
            </w:r>
          </w:p>
        </w:tc>
        <w:tc>
          <w:tcPr>
            <w:tcW w:w="19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48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Carbon emission accounting and reporting requirements for prefabricated concrete component production enterprises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50"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sym w:font="Wingdings 2" w:char="F052"/>
            </w:r>
            <w:r>
              <w:rPr>
                <w:rFonts w:hint="eastAsia" w:ascii="宋体" w:hAnsi="宋体" w:eastAsia="宋体"/>
                <w:sz w:val="18"/>
                <w:szCs w:val="18"/>
              </w:rPr>
              <w:t xml:space="preserve"> 制定</w:t>
            </w:r>
          </w:p>
        </w:tc>
        <w:tc>
          <w:tcPr>
            <w:tcW w:w="1553"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9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488"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110"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1013" w:type="dxa"/>
            <w:vAlign w:val="center"/>
          </w:tcPr>
          <w:p>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9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488"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203" w:type="dxa"/>
            <w:gridSpan w:val="4"/>
            <w:vAlign w:val="center"/>
          </w:tcPr>
          <w:p>
            <w:pPr>
              <w:snapToGrid w:val="0"/>
              <w:spacing w:line="360" w:lineRule="auto"/>
              <w:rPr>
                <w:rFonts w:ascii="宋体" w:hAnsi="宋体" w:eastAsia="宋体"/>
                <w:sz w:val="18"/>
                <w:szCs w:val="18"/>
              </w:rPr>
            </w:pPr>
          </w:p>
        </w:tc>
        <w:tc>
          <w:tcPr>
            <w:tcW w:w="19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488"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35" w:type="dxa"/>
            <w:vAlign w:val="center"/>
          </w:tcPr>
          <w:p>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203" w:type="dxa"/>
            <w:gridSpan w:val="4"/>
            <w:vAlign w:val="center"/>
          </w:tcPr>
          <w:p>
            <w:pPr>
              <w:snapToGrid w:val="0"/>
              <w:spacing w:line="360" w:lineRule="auto"/>
              <w:rPr>
                <w:rFonts w:ascii="宋体" w:hAnsi="宋体" w:eastAsia="宋体"/>
                <w:sz w:val="18"/>
                <w:szCs w:val="18"/>
              </w:rPr>
            </w:pPr>
          </w:p>
        </w:tc>
        <w:tc>
          <w:tcPr>
            <w:tcW w:w="19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488"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203" w:type="dxa"/>
            <w:gridSpan w:val="4"/>
            <w:vAlign w:val="center"/>
          </w:tcPr>
          <w:p>
            <w:pPr>
              <w:snapToGrid w:val="0"/>
              <w:spacing w:line="360" w:lineRule="auto"/>
              <w:rPr>
                <w:rFonts w:ascii="宋体" w:hAnsi="宋体" w:eastAsia="宋体"/>
                <w:sz w:val="18"/>
                <w:szCs w:val="18"/>
              </w:rPr>
            </w:pPr>
            <w:r>
              <w:rPr>
                <w:rFonts w:hint="eastAsia" w:ascii="宋体" w:hAnsi="宋体" w:eastAsia="宋体"/>
                <w:sz w:val="18"/>
                <w:szCs w:val="18"/>
              </w:rPr>
              <w:t>北京市住宅产业化集团股份有限公司</w:t>
            </w:r>
          </w:p>
          <w:p>
            <w:pPr>
              <w:snapToGrid w:val="0"/>
              <w:spacing w:line="360" w:lineRule="auto"/>
              <w:rPr>
                <w:rFonts w:ascii="宋体" w:hAnsi="宋体" w:eastAsia="宋体"/>
                <w:sz w:val="18"/>
                <w:szCs w:val="18"/>
              </w:rPr>
            </w:pPr>
            <w:r>
              <w:rPr>
                <w:rFonts w:hint="eastAsia" w:ascii="宋体" w:hAnsi="宋体" w:eastAsia="宋体"/>
                <w:sz w:val="18"/>
                <w:szCs w:val="18"/>
              </w:rPr>
              <w:t>北京市燕通建筑构件有限公司</w:t>
            </w:r>
          </w:p>
          <w:p>
            <w:pPr>
              <w:snapToGrid w:val="0"/>
              <w:spacing w:line="360" w:lineRule="auto"/>
              <w:rPr>
                <w:rFonts w:ascii="宋体" w:hAnsi="宋体" w:eastAsia="宋体"/>
                <w:sz w:val="18"/>
                <w:szCs w:val="18"/>
              </w:rPr>
            </w:pPr>
            <w:r>
              <w:rPr>
                <w:rFonts w:hint="eastAsia" w:ascii="宋体" w:hAnsi="宋体" w:eastAsia="宋体"/>
                <w:sz w:val="18"/>
                <w:szCs w:val="18"/>
              </w:rPr>
              <w:t>北京交通大学</w:t>
            </w:r>
          </w:p>
        </w:tc>
        <w:tc>
          <w:tcPr>
            <w:tcW w:w="1914"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488" w:type="dxa"/>
            <w:gridSpan w:val="2"/>
            <w:vAlign w:val="center"/>
          </w:tcPr>
          <w:p>
            <w:pPr>
              <w:snapToGrid w:val="0"/>
              <w:spacing w:line="360" w:lineRule="auto"/>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605" w:type="dxa"/>
            <w:gridSpan w:val="8"/>
            <w:vAlign w:val="center"/>
          </w:tcPr>
          <w:p>
            <w:pPr>
              <w:snapToGrid w:val="0"/>
              <w:spacing w:line="360" w:lineRule="auto"/>
              <w:rPr>
                <w:rFonts w:ascii="宋体" w:hAnsi="宋体" w:eastAsia="宋体"/>
                <w:sz w:val="18"/>
                <w:szCs w:val="18"/>
                <w:u w:val="single"/>
              </w:rPr>
            </w:pPr>
            <w:r>
              <w:rPr>
                <w:rFonts w:hint="eastAsia" w:ascii="宋体" w:hAnsi="宋体" w:eastAsia="宋体"/>
                <w:sz w:val="18"/>
                <w:szCs w:val="18"/>
                <w:u w:val="single"/>
              </w:rPr>
              <w:t>指出标准项目涉及的方面，期望解决的问题；</w:t>
            </w:r>
          </w:p>
          <w:p>
            <w:pPr>
              <w:ind w:firstLine="368" w:firstLineChars="205"/>
              <w:rPr>
                <w:rFonts w:ascii="宋体"/>
                <w:sz w:val="18"/>
                <w:szCs w:val="18"/>
              </w:rPr>
            </w:pPr>
            <w:r>
              <w:rPr>
                <w:rFonts w:hint="eastAsia" w:ascii="宋体"/>
                <w:sz w:val="18"/>
                <w:szCs w:val="18"/>
              </w:rPr>
              <w:t>2020年9月22日，习近平主席在第七十五届联合国大会一般性辩论上发表重要讲话，向世界承诺：“中国将提高国家自主贡献力度，采取更加有力的政策和措施，二氧化碳排放力争于2030年前达到峰值，努力争取2060年前实现碳中和。”2021年3月，经十三届全国人大四次会议表决通过的《国民经济和社会发展第十四个五年规划和2035年远景目标纲要》，将碳达峰与碳中和列为国家“十四五”期间的重要工作，要求“落实2030年应对气候变化国家自主贡献目标，制定2030年前碳排放达峰行动方案。”《中国建筑能耗研究报告（2020）》公布的数据显示：2018年全国建筑全过程碳排放总量为49.3亿tCO</w:t>
            </w:r>
            <w:r>
              <w:rPr>
                <w:rFonts w:hint="eastAsia" w:ascii="宋体"/>
                <w:sz w:val="18"/>
                <w:szCs w:val="18"/>
                <w:vertAlign w:val="subscript"/>
              </w:rPr>
              <w:t>2</w:t>
            </w:r>
            <w:r>
              <w:rPr>
                <w:rFonts w:hint="eastAsia" w:ascii="宋体"/>
                <w:sz w:val="18"/>
                <w:szCs w:val="18"/>
              </w:rPr>
              <w:t>，占全国能源碳排放总量的比重为51.2%。从建筑全寿命期去考虑，这些排放主要来自于建材生产和运输、现场施工、建筑运行、建筑拆除产生的碳排放。建筑领域的碳达峰与碳中和因其重要意义而被提上日程。</w:t>
            </w:r>
          </w:p>
          <w:p>
            <w:pPr>
              <w:ind w:firstLine="368" w:firstLineChars="205"/>
              <w:rPr>
                <w:rFonts w:ascii="宋体"/>
                <w:sz w:val="18"/>
                <w:szCs w:val="18"/>
              </w:rPr>
            </w:pPr>
            <w:r>
              <w:rPr>
                <w:rFonts w:hint="eastAsia" w:ascii="宋体"/>
                <w:sz w:val="18"/>
                <w:szCs w:val="18"/>
              </w:rPr>
              <w:t>但是，由于各种原因“十三五”期间国家并未将建筑领域的碳排放工作开展置于重要地位，例如，“摸清碳家底”工作主要关注于城市温室气体清单的编制和重点行业企业的碳核查；“配额指标”与“碳交易”主要集中于能源、钢铁等行业的重点碳排放大户；统计口关于建筑领域的碳排放计量如何从供给端核算转向消费侧指导尚无定论；工信部门和住建部门对于建材生产的碳排放管辖权也存在割裂，等等。国家在“十三五”期间虽然出台了《建筑碳排放计算标准》GB/T 51366-2019，但该标准条目稍显粗略，主要起宏观指导意义，例如针对建造阶段的碳排放计算主要以规范方法学为主。另外，该标准主要对设计阶段如何根据图纸和工程量进行碳排放的“预算”做了规定，而针对实际发生中产生的碳排放计量方法未做详细要求，无法真正实现对建筑领域“双碳目标”的及时监控。同时，由于隶属原因，建筑领域全过程的碳排放，真正属于建筑业直接管控的其实只有建筑施工阶段和拆除阶段（建材生产碳排放溯源于工信部门、建筑运行碳排放溯源于能源部门）。</w:t>
            </w:r>
          </w:p>
          <w:p>
            <w:pPr>
              <w:ind w:firstLine="368" w:firstLineChars="205"/>
              <w:rPr>
                <w:rFonts w:ascii="宋体"/>
                <w:sz w:val="18"/>
                <w:szCs w:val="18"/>
              </w:rPr>
            </w:pPr>
            <w:r>
              <w:rPr>
                <w:rFonts w:hint="eastAsia" w:ascii="宋体"/>
                <w:sz w:val="18"/>
                <w:szCs w:val="18"/>
              </w:rPr>
              <w:t>装配式建筑由于其工业化设计与建造的特点成为建筑行业节能减排的新趋势。由于装配式建筑是以构件的设计和管理为核心，其碳排放计量不同于传统的材料、机械等作为基本计量单元，而是以构件为基本计量单位。通过研究多种建筑材料后发现，对于住宅建筑，混凝土的能耗量占建筑物化能总量的61%，并得出减少混凝土构件碳排放对碳中和意义重大。但是目前缺乏针对混凝土构件工厂生产阶段的碳排放计算方法与规则，结合项目编制组已对京津冀地区预制构件厂大规模的调研，并得到第一手资料，包含：1.预制构件厂的生产工艺与流程；2.预制构件厂的原材料消耗详单；3.预制构件厂的能源消耗；4.预制构件厂主要设备的碳排放指标等重要数据。建立针对装配式建筑用预制混凝土构件全面、准确及先进的碳排放计算标准有重要意义，《标准》为评价装配式建筑低碳水平提供依据，也为其他建筑部品部件的碳排放计算提供思路。</w:t>
            </w:r>
          </w:p>
          <w:p>
            <w:pPr>
              <w:ind w:firstLine="370" w:firstLineChars="205"/>
              <w:rPr>
                <w:rFonts w:ascii="宋体" w:hAnsi="宋体" w:eastAsia="宋体"/>
                <w:sz w:val="18"/>
                <w:szCs w:val="18"/>
              </w:rPr>
            </w:pPr>
            <w:r>
              <w:rPr>
                <w:rFonts w:hint="eastAsia" w:ascii="宋体"/>
                <w:b/>
                <w:bCs/>
                <w:color w:val="0000FF"/>
                <w:sz w:val="18"/>
                <w:szCs w:val="18"/>
              </w:rPr>
              <w:t>综上，编制并实施一项用于指导、评价混凝土构件生产阶段碳排放计算的标准十分必要。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605" w:type="dxa"/>
            <w:gridSpan w:val="8"/>
            <w:vAlign w:val="center"/>
          </w:tcPr>
          <w:p>
            <w:pPr>
              <w:snapToGrid w:val="0"/>
              <w:spacing w:line="360" w:lineRule="auto"/>
              <w:rPr>
                <w:rFonts w:ascii="宋体" w:hAnsi="宋体" w:eastAsia="宋体"/>
                <w:sz w:val="18"/>
                <w:szCs w:val="18"/>
                <w:u w:val="single"/>
              </w:rPr>
            </w:pPr>
            <w:r>
              <w:rPr>
                <w:rFonts w:hint="eastAsia" w:ascii="宋体" w:hAnsi="宋体" w:eastAsia="宋体"/>
                <w:sz w:val="18"/>
                <w:szCs w:val="18"/>
                <w:u w:val="single"/>
              </w:rPr>
              <w:t>标准的技术内容与适用范围；</w:t>
            </w:r>
          </w:p>
          <w:p>
            <w:pPr>
              <w:ind w:firstLine="368" w:firstLineChars="205"/>
              <w:rPr>
                <w:rFonts w:ascii="宋体"/>
                <w:sz w:val="18"/>
                <w:szCs w:val="18"/>
              </w:rPr>
            </w:pPr>
            <w:r>
              <w:rPr>
                <w:rFonts w:hint="eastAsia" w:ascii="宋体"/>
                <w:sz w:val="18"/>
                <w:szCs w:val="18"/>
              </w:rPr>
              <w:t>适用范围：</w:t>
            </w:r>
          </w:p>
          <w:p>
            <w:pPr>
              <w:ind w:firstLine="368" w:firstLineChars="205"/>
              <w:rPr>
                <w:rFonts w:ascii="宋体"/>
                <w:sz w:val="18"/>
                <w:szCs w:val="18"/>
              </w:rPr>
            </w:pPr>
            <w:r>
              <w:rPr>
                <w:rFonts w:hint="eastAsia" w:ascii="宋体"/>
                <w:sz w:val="18"/>
                <w:szCs w:val="18"/>
              </w:rPr>
              <w:t>本《标准》可用于指导当前国内所有建筑工程在设计阶段通过图纸和工程量预算等文件对预制混凝土构件的碳排放进行估算；也可以在施工阶段对于实际碳排放进行适时计量，与估算数据和目标进行对标；对于全生命期预制混凝土构件的碳排放进行计量和总结。本《标准》可用于新建建筑和改扩建建筑。</w:t>
            </w:r>
          </w:p>
          <w:p>
            <w:pPr>
              <w:ind w:firstLine="368" w:firstLineChars="205"/>
              <w:rPr>
                <w:rFonts w:ascii="宋体"/>
                <w:sz w:val="18"/>
                <w:szCs w:val="18"/>
              </w:rPr>
            </w:pPr>
            <w:r>
              <w:rPr>
                <w:rFonts w:hint="eastAsia" w:ascii="宋体"/>
                <w:sz w:val="18"/>
                <w:szCs w:val="18"/>
              </w:rPr>
              <w:t>技术内容：</w:t>
            </w:r>
          </w:p>
          <w:p>
            <w:pPr>
              <w:ind w:firstLine="368" w:firstLineChars="205"/>
              <w:rPr>
                <w:rFonts w:hint="default" w:ascii="宋体" w:eastAsia="仿宋_GB2312"/>
                <w:sz w:val="18"/>
                <w:szCs w:val="18"/>
                <w:lang w:val="en-US" w:eastAsia="zh-CN"/>
              </w:rPr>
            </w:pPr>
            <w:r>
              <w:rPr>
                <w:rFonts w:hint="eastAsia" w:ascii="宋体"/>
                <w:sz w:val="18"/>
                <w:szCs w:val="18"/>
              </w:rPr>
              <w:t>本《标准》关键技术内容主要用以指导在项目的策划和设计阶段，根据概算书、预算书等材料详细计算出预制混凝土构件在制作过程中可能产生的碳排放量。也可在项目竣工后对于预制混凝土构件生产阶段产生的碳排放总量进行一次性“决算”。预制混凝土构件全生命周期科学、准确的计算碳排放，为建筑业减排提供依据。</w:t>
            </w:r>
            <w:r>
              <w:rPr>
                <w:rFonts w:hint="eastAsia" w:ascii="宋体"/>
                <w:sz w:val="18"/>
                <w:szCs w:val="18"/>
                <w:lang w:val="en-US" w:eastAsia="zh-CN"/>
              </w:rPr>
              <w:t>统计行业碳排放水平，给出预制混凝土构件生产企业碳排放平均水平值。</w:t>
            </w:r>
            <w:bookmarkStart w:id="0" w:name="_GoBack"/>
            <w:bookmarkEnd w:id="0"/>
          </w:p>
          <w:p>
            <w:pPr>
              <w:ind w:firstLine="368" w:firstLineChars="205"/>
              <w:rPr>
                <w:rFonts w:ascii="宋体"/>
                <w:sz w:val="18"/>
                <w:szCs w:val="18"/>
              </w:rPr>
            </w:pPr>
            <w:r>
              <w:rPr>
                <w:rFonts w:hint="eastAsia" w:ascii="宋体"/>
                <w:sz w:val="18"/>
                <w:szCs w:val="18"/>
              </w:rPr>
              <w:t>计算部分主要方法学将参考《建筑碳排放计算标准》GB/T 51366-2019中对</w:t>
            </w:r>
            <w:r>
              <w:rPr>
                <w:rFonts w:hint="eastAsia" w:ascii="宋体"/>
                <w:sz w:val="18"/>
                <w:szCs w:val="18"/>
                <w:lang w:val="en-US" w:eastAsia="zh-CN"/>
              </w:rPr>
              <w:t>预制构件生产</w:t>
            </w:r>
            <w:r>
              <w:rPr>
                <w:rFonts w:hint="eastAsia" w:ascii="宋体"/>
                <w:sz w:val="18"/>
                <w:szCs w:val="18"/>
              </w:rPr>
              <w:t>、运输碳排放的计算方法，与国标保持一致性。</w:t>
            </w:r>
            <w:r>
              <w:rPr>
                <w:rFonts w:hint="eastAsia" w:ascii="宋体"/>
                <w:b/>
                <w:bCs/>
                <w:sz w:val="18"/>
                <w:szCs w:val="18"/>
                <w:lang w:val="en-US" w:eastAsia="zh-CN"/>
              </w:rPr>
              <w:t>依据课题组调研的预制构件厂碳排放数据，建立装配式建筑用预制混凝土构件碳排放数学模型，提出合理的预制混凝土构件碳排放因子，填补行业空白</w:t>
            </w:r>
            <w:r>
              <w:rPr>
                <w:rFonts w:hint="eastAsia" w:ascii="宋体"/>
                <w:sz w:val="18"/>
                <w:szCs w:val="18"/>
                <w:lang w:val="en-US" w:eastAsia="zh-CN"/>
              </w:rPr>
              <w:t>，</w:t>
            </w:r>
            <w:r>
              <w:rPr>
                <w:rFonts w:hint="eastAsia" w:ascii="宋体"/>
                <w:b/>
                <w:bCs/>
                <w:sz w:val="18"/>
                <w:szCs w:val="18"/>
                <w:lang w:val="en-US" w:eastAsia="zh-CN"/>
              </w:rPr>
              <w:t>确保装配式建筑的碳排放计算有据可查</w:t>
            </w:r>
            <w:r>
              <w:rPr>
                <w:rFonts w:hint="eastAsia" w:ascii="宋体"/>
                <w:sz w:val="18"/>
                <w:szCs w:val="18"/>
                <w:lang w:val="en-US" w:eastAsia="zh-CN"/>
              </w:rPr>
              <w:t>。</w:t>
            </w:r>
            <w:r>
              <w:rPr>
                <w:rFonts w:hint="eastAsia" w:ascii="宋体"/>
                <w:sz w:val="18"/>
                <w:szCs w:val="18"/>
              </w:rPr>
              <w:t>计量部分主要方法学将借鉴ISO 16745和ISO 14064等现有针对碳排放实际发生量进行计量和核查的国际标准，主要针对预制混凝土构件各种能源（主要包括电力、天然气、燃油等）的消耗量，依据其实物消耗量单据、计量仪器等提供的数据，乘以官方发布的能源类别排放因子。</w:t>
            </w:r>
          </w:p>
          <w:p>
            <w:pPr>
              <w:snapToGrid w:val="0"/>
              <w:spacing w:line="360" w:lineRule="auto"/>
              <w:rPr>
                <w:rFonts w:ascii="宋体" w:hAnsi="宋体" w:eastAsia="宋体"/>
                <w:sz w:val="18"/>
                <w:szCs w:val="18"/>
                <w:u w:val="single"/>
              </w:rPr>
            </w:pPr>
            <w:r>
              <w:rPr>
                <w:rFonts w:hint="eastAsia" w:ascii="宋体" w:hAnsi="宋体" w:eastAsia="宋体"/>
                <w:sz w:val="18"/>
                <w:szCs w:val="18"/>
                <w:u w:val="single"/>
              </w:rPr>
              <w:t>项目建议性质为强制性，需指出强制内容；</w:t>
            </w:r>
          </w:p>
          <w:p>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无强制性内容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3" w:hRule="atLeast"/>
          <w:jc w:val="center"/>
        </w:trPr>
        <w:tc>
          <w:tcPr>
            <w:tcW w:w="2135"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605" w:type="dxa"/>
            <w:gridSpan w:val="8"/>
            <w:vAlign w:val="center"/>
          </w:tcPr>
          <w:p>
            <w:pPr>
              <w:snapToGrid w:val="0"/>
              <w:spacing w:line="360" w:lineRule="auto"/>
              <w:rPr>
                <w:rFonts w:ascii="宋体" w:hAnsi="宋体" w:eastAsia="宋体"/>
                <w:sz w:val="18"/>
                <w:szCs w:val="18"/>
              </w:rPr>
            </w:pPr>
            <w:r>
              <w:rPr>
                <w:rFonts w:hint="eastAsia" w:ascii="宋体" w:hAnsi="宋体" w:eastAsia="宋体"/>
                <w:sz w:val="18"/>
                <w:szCs w:val="18"/>
                <w:u w:val="single"/>
              </w:rPr>
              <w:t>1. 国内外对该技术研究情况简要说明：</w:t>
            </w:r>
            <w:r>
              <w:rPr>
                <w:rFonts w:hint="eastAsia" w:ascii="宋体" w:hAnsi="宋体" w:eastAsia="宋体"/>
                <w:sz w:val="18"/>
                <w:szCs w:val="18"/>
              </w:rPr>
              <w:t>国内外对该技术研究情况、进程及未来的发展；该技术是否相对稳定，如果不是的话，预计一下技术未来稳定的时间，提出的标准项目是否可作为未来技术发展的基础；</w:t>
            </w:r>
          </w:p>
          <w:p>
            <w:pPr>
              <w:ind w:firstLine="368" w:firstLineChars="205"/>
              <w:rPr>
                <w:rFonts w:ascii="宋体"/>
                <w:sz w:val="18"/>
                <w:szCs w:val="18"/>
              </w:rPr>
            </w:pPr>
            <w:r>
              <w:rPr>
                <w:rFonts w:hint="eastAsia" w:ascii="宋体"/>
                <w:sz w:val="18"/>
                <w:szCs w:val="18"/>
              </w:rPr>
              <w:t>《</w:t>
            </w:r>
            <w:r>
              <w:rPr>
                <w:rFonts w:hint="eastAsia" w:ascii="宋体"/>
                <w:sz w:val="18"/>
                <w:szCs w:val="18"/>
                <w:lang w:eastAsia="zh-CN"/>
              </w:rPr>
              <w:t>碳排放核算与报告要求  预制混凝土构件生产企业</w:t>
            </w:r>
            <w:r>
              <w:rPr>
                <w:rFonts w:hint="eastAsia" w:ascii="宋体"/>
                <w:sz w:val="18"/>
                <w:szCs w:val="18"/>
              </w:rPr>
              <w:t>》积极响应国家在建设领域实现“双碳”目标重大政策，践行绿色环保理念，内容包含范围、规范性引用文件、术语和定义、产品分类及标记、预制混凝土构件碳排放计量原则与方法、预制混凝土构件生产阶段碳排放量计算、运输阶段碳排放量计算、碳排放计量智慧管理及附录，既可为建设方和总包单位制定减碳目标决策时提供参考，又可以为施工单位（含各专业分包单位）在深化设计、施工组织方案编制中提供低碳措施指导，以及规范项目施工过程中碳排放的适时计量和监测。本《标准》需解决的重点问题如下：</w:t>
            </w:r>
          </w:p>
          <w:p>
            <w:pPr>
              <w:ind w:firstLine="368" w:firstLineChars="205"/>
              <w:rPr>
                <w:rFonts w:ascii="宋体"/>
                <w:sz w:val="18"/>
                <w:szCs w:val="18"/>
              </w:rPr>
            </w:pPr>
            <w:r>
              <w:rPr>
                <w:rFonts w:hint="eastAsia" w:ascii="宋体"/>
                <w:sz w:val="18"/>
                <w:szCs w:val="18"/>
              </w:rPr>
              <w:t>1、不同的研究对象需要不同的系统边界、功能单位、核算方法，目前以建筑构件为研究对象的核算方法尚未提出，针对建筑细部设计的定量核算工具欠缺，本《标准》拟提出以预制混凝土构件为目标的碳排放计算与计量方法。</w:t>
            </w:r>
          </w:p>
          <w:p>
            <w:pPr>
              <w:ind w:firstLine="368" w:firstLineChars="205"/>
              <w:rPr>
                <w:rFonts w:ascii="宋体"/>
                <w:sz w:val="18"/>
                <w:szCs w:val="18"/>
              </w:rPr>
            </w:pPr>
            <w:r>
              <w:rPr>
                <w:rFonts w:hint="eastAsia" w:ascii="宋体"/>
                <w:sz w:val="18"/>
                <w:szCs w:val="18"/>
              </w:rPr>
              <w:t>2、由于国内生产厂家计量、监测设施有限，大多数建筑构件的生产、运输等环境影响数据都来自二手数据，使得数据质量不高，本《标准》</w:t>
            </w:r>
            <w:r>
              <w:rPr>
                <w:rFonts w:hint="eastAsia" w:ascii="宋体"/>
                <w:sz w:val="18"/>
                <w:szCs w:val="18"/>
                <w:lang w:val="en-US" w:eastAsia="zh-CN"/>
              </w:rPr>
              <w:t>应</w:t>
            </w:r>
            <w:r>
              <w:rPr>
                <w:rFonts w:hint="eastAsia" w:ascii="宋体"/>
                <w:sz w:val="18"/>
                <w:szCs w:val="18"/>
              </w:rPr>
              <w:t>调研统计不同预制混凝土构件生产厂家的碳排放数据，提供较为准确的数据库。</w:t>
            </w:r>
          </w:p>
          <w:p>
            <w:pPr>
              <w:ind w:firstLine="368" w:firstLineChars="205"/>
              <w:rPr>
                <w:rFonts w:ascii="宋体"/>
                <w:sz w:val="18"/>
                <w:szCs w:val="18"/>
              </w:rPr>
            </w:pPr>
            <w:r>
              <w:rPr>
                <w:rFonts w:hint="eastAsia" w:ascii="宋体"/>
                <w:sz w:val="18"/>
                <w:szCs w:val="18"/>
              </w:rPr>
              <w:t>3、国内针对建筑构件的综合评价方法研究较少，国外的方法是否适用于国内的情况存在争议，如何找到适合于本国、本地区的综合评价方法至关重要，本《标准》拟提出预制混凝土构件排放综合评价方法，为建筑节能减排提供依据。</w:t>
            </w:r>
          </w:p>
          <w:p>
            <w:pPr>
              <w:snapToGrid w:val="0"/>
              <w:spacing w:line="360" w:lineRule="auto"/>
              <w:rPr>
                <w:rFonts w:ascii="宋体" w:hAnsi="宋体" w:eastAsia="宋体"/>
                <w:sz w:val="18"/>
                <w:szCs w:val="18"/>
              </w:rPr>
            </w:pPr>
            <w:r>
              <w:rPr>
                <w:rFonts w:hint="eastAsia" w:ascii="宋体" w:hAnsi="宋体" w:eastAsia="宋体"/>
                <w:sz w:val="18"/>
                <w:szCs w:val="18"/>
                <w:u w:val="single"/>
              </w:rPr>
              <w:t>2. 项目与国际标准或国外先进标准采用程度的考虑：</w:t>
            </w:r>
            <w:r>
              <w:rPr>
                <w:rFonts w:hint="eastAsia" w:ascii="宋体" w:hAnsi="宋体" w:eastAsia="宋体"/>
                <w:sz w:val="18"/>
                <w:szCs w:val="18"/>
              </w:rPr>
              <w:t>该标准项目是否有对应的国际标准或国外先进标准，标准制定过程中如何考虑采用的问题；</w:t>
            </w:r>
          </w:p>
          <w:p>
            <w:pPr>
              <w:ind w:firstLine="368" w:firstLineChars="205"/>
              <w:rPr>
                <w:rFonts w:ascii="宋体"/>
                <w:sz w:val="18"/>
                <w:szCs w:val="18"/>
              </w:rPr>
            </w:pPr>
            <w:r>
              <w:rPr>
                <w:rFonts w:hint="eastAsia" w:ascii="宋体"/>
                <w:sz w:val="18"/>
                <w:szCs w:val="18"/>
              </w:rPr>
              <w:t>与《建筑运行碳排放计量、报告与核证标准》ISO 16745的比较。ISO16745只针对建筑运行阶段的碳排放计量、核证进行规定，而本《标准》针对的是预制混凝土构件的生产、运输阶段进行碳排放计量。</w:t>
            </w:r>
          </w:p>
          <w:p>
            <w:pPr>
              <w:ind w:firstLine="368" w:firstLineChars="205"/>
              <w:rPr>
                <w:rFonts w:ascii="宋体" w:hAnsi="宋体" w:eastAsia="宋体"/>
                <w:sz w:val="18"/>
                <w:szCs w:val="18"/>
              </w:rPr>
            </w:pPr>
            <w:r>
              <w:rPr>
                <w:rFonts w:hint="eastAsia" w:ascii="宋体"/>
                <w:sz w:val="18"/>
                <w:szCs w:val="18"/>
              </w:rPr>
              <w:t>此外，本《标准》还对计算和计量结果如何发布、核证做出了规定，这是GB/T 51366-2019和CECS 374-2014所空缺的。综上，目前国内外均无此类重复标准。</w:t>
            </w:r>
          </w:p>
          <w:p>
            <w:pPr>
              <w:snapToGrid w:val="0"/>
              <w:spacing w:line="360" w:lineRule="auto"/>
              <w:rPr>
                <w:rFonts w:ascii="宋体" w:hAnsi="宋体" w:eastAsia="宋体"/>
                <w:sz w:val="18"/>
                <w:szCs w:val="18"/>
              </w:rPr>
            </w:pPr>
            <w:r>
              <w:rPr>
                <w:rFonts w:hint="eastAsia" w:ascii="宋体" w:hAnsi="宋体" w:eastAsia="宋体"/>
                <w:sz w:val="18"/>
                <w:szCs w:val="18"/>
                <w:u w:val="single"/>
              </w:rPr>
              <w:t>3. 与国内相关标准间的关系：</w:t>
            </w:r>
            <w:r>
              <w:rPr>
                <w:rFonts w:hint="eastAsia" w:ascii="宋体" w:hAnsi="宋体" w:eastAsia="宋体"/>
                <w:sz w:val="18"/>
                <w:szCs w:val="18"/>
              </w:rPr>
              <w:t>该标准项目是否有相关的国家或行业标准，该标准项目与这些标准是什么关系，该标准项目在标准体系中的位置；</w:t>
            </w:r>
          </w:p>
          <w:p>
            <w:pPr>
              <w:ind w:firstLine="368" w:firstLineChars="205"/>
              <w:rPr>
                <w:rFonts w:ascii="宋体"/>
                <w:sz w:val="18"/>
                <w:szCs w:val="18"/>
              </w:rPr>
            </w:pPr>
            <w:r>
              <w:rPr>
                <w:rFonts w:hint="eastAsia" w:ascii="宋体"/>
                <w:sz w:val="18"/>
                <w:szCs w:val="18"/>
              </w:rPr>
              <w:t>目前，国内关于建筑领域碳排放方面出台的相关标准很少，公开发布的包括国标《建筑碳排放计算标准》GB/T 51366-2019、团标《建筑碳排放计量标准》CECS 374-2014。国际上专门针对建筑领域的标准，目前已经发布的只有一个，即：《建筑运行碳排放计量、报告与核证标准》ISO 16745。下面将以上3个标准与本次拟申报的《标准》在内容上进行对比。</w:t>
            </w:r>
          </w:p>
          <w:p>
            <w:pPr>
              <w:ind w:firstLine="368" w:firstLineChars="205"/>
              <w:rPr>
                <w:rFonts w:ascii="宋体"/>
                <w:sz w:val="18"/>
                <w:szCs w:val="18"/>
              </w:rPr>
            </w:pPr>
            <w:r>
              <w:rPr>
                <w:rFonts w:hint="eastAsia" w:ascii="宋体"/>
                <w:sz w:val="18"/>
                <w:szCs w:val="18"/>
              </w:rPr>
              <w:t>1、与《建筑碳排放计算标准》GB/T 51366-2019的比较。首先，GB/T 51366-2019主要对建筑碳排放进行预算，根据设计阶段的成果（图纸、工程量、模拟等）来计算未来建筑生成和运行中可能的碳排放量，而本《标准》不仅为</w:t>
            </w:r>
            <w:r>
              <w:rPr>
                <w:rFonts w:hint="eastAsia" w:ascii="宋体"/>
                <w:sz w:val="18"/>
                <w:szCs w:val="18"/>
                <w:lang w:val="en-US" w:eastAsia="zh-CN"/>
              </w:rPr>
              <w:t>预制混凝土构件</w:t>
            </w:r>
            <w:r>
              <w:rPr>
                <w:rFonts w:hint="eastAsia" w:ascii="宋体"/>
                <w:sz w:val="18"/>
                <w:szCs w:val="18"/>
              </w:rPr>
              <w:t>碳排放如何计算做出了规定，还对</w:t>
            </w:r>
            <w:r>
              <w:rPr>
                <w:rFonts w:hint="eastAsia" w:ascii="宋体"/>
                <w:sz w:val="18"/>
                <w:szCs w:val="18"/>
                <w:lang w:val="en-US" w:eastAsia="zh-CN"/>
              </w:rPr>
              <w:t>制造</w:t>
            </w:r>
            <w:r>
              <w:rPr>
                <w:rFonts w:hint="eastAsia" w:ascii="宋体"/>
                <w:sz w:val="18"/>
                <w:szCs w:val="18"/>
              </w:rPr>
              <w:t>过程中实际产生的碳排放如何计量提出方法与要求。其次，GB/T 51366-2019标准每个阶段的具体规定细致程度尚不足，在计算边界上存在一定的商榷之处，而本《标准》将针对建筑构件为对象</w:t>
            </w:r>
            <w:r>
              <w:rPr>
                <w:rFonts w:hint="eastAsia" w:ascii="宋体"/>
                <w:sz w:val="18"/>
                <w:szCs w:val="18"/>
                <w:lang w:val="en-US" w:eastAsia="zh-CN"/>
              </w:rPr>
              <w:t>建立生产</w:t>
            </w:r>
            <w:r>
              <w:rPr>
                <w:rFonts w:hint="eastAsia" w:ascii="宋体"/>
                <w:sz w:val="18"/>
                <w:szCs w:val="18"/>
              </w:rPr>
              <w:t>阶段的碳排放，并且考虑全生命期混凝土构件的碳排放与碳汇的计量。</w:t>
            </w:r>
          </w:p>
          <w:p>
            <w:pPr>
              <w:ind w:firstLine="368" w:firstLineChars="205"/>
              <w:rPr>
                <w:rFonts w:ascii="宋体"/>
                <w:sz w:val="18"/>
                <w:szCs w:val="18"/>
              </w:rPr>
            </w:pPr>
            <w:r>
              <w:rPr>
                <w:rFonts w:hint="eastAsia" w:ascii="宋体"/>
                <w:sz w:val="18"/>
                <w:szCs w:val="18"/>
              </w:rPr>
              <w:t>2、与《建筑碳排放计量标准》CECS 374-2014的比较。首先，CECS 374-2014主要对建筑碳排放实际发生过程中的采集和计量做出了规定，基本没有涉及到根据设计阶段资料如何计算未来发生的碳排放的内容，而本《标准》对</w:t>
            </w:r>
            <w:r>
              <w:rPr>
                <w:rFonts w:hint="eastAsia" w:ascii="宋体"/>
                <w:sz w:val="18"/>
                <w:szCs w:val="18"/>
                <w:lang w:val="en-US" w:eastAsia="zh-CN"/>
              </w:rPr>
              <w:t>装配式建筑预制混凝土构件生产阶段</w:t>
            </w:r>
            <w:r>
              <w:rPr>
                <w:rFonts w:hint="eastAsia" w:ascii="宋体"/>
                <w:sz w:val="18"/>
                <w:szCs w:val="18"/>
              </w:rPr>
              <w:t>碳排放如何提前计算做出了规定。其次，CECS 374-2014未对</w:t>
            </w:r>
            <w:r>
              <w:rPr>
                <w:rFonts w:hint="eastAsia" w:ascii="宋体"/>
                <w:sz w:val="18"/>
                <w:szCs w:val="18"/>
                <w:lang w:val="en-US" w:eastAsia="zh-CN"/>
              </w:rPr>
              <w:t>生产</w:t>
            </w:r>
            <w:r>
              <w:rPr>
                <w:rFonts w:hint="eastAsia" w:ascii="宋体"/>
                <w:sz w:val="18"/>
                <w:szCs w:val="18"/>
              </w:rPr>
              <w:t>阶段通过可再生能源的生产而减碳进行规定，本《标准》弥补了该项不足。</w:t>
            </w:r>
          </w:p>
          <w:p>
            <w:pPr>
              <w:snapToGrid w:val="0"/>
              <w:spacing w:line="360" w:lineRule="auto"/>
              <w:rPr>
                <w:rFonts w:ascii="宋体" w:hAnsi="宋体" w:eastAsia="宋体"/>
                <w:sz w:val="18"/>
                <w:szCs w:val="18"/>
                <w:u w:val="single"/>
              </w:rPr>
            </w:pPr>
            <w:r>
              <w:rPr>
                <w:rFonts w:hint="eastAsia" w:ascii="宋体" w:hAnsi="宋体" w:eastAsia="宋体"/>
                <w:sz w:val="18"/>
                <w:szCs w:val="18"/>
                <w:u w:val="single"/>
              </w:rPr>
              <w:t>4. 指出是否发现有知识产权的问题。</w:t>
            </w:r>
          </w:p>
          <w:p>
            <w:pPr>
              <w:snapToGrid w:val="0"/>
              <w:spacing w:line="360" w:lineRule="auto"/>
              <w:ind w:firstLine="360" w:firstLineChars="200"/>
              <w:rPr>
                <w:rFonts w:ascii="宋体" w:hAnsi="宋体" w:eastAsia="宋体"/>
                <w:sz w:val="18"/>
                <w:szCs w:val="18"/>
              </w:rPr>
            </w:pPr>
            <w:r>
              <w:rPr>
                <w:rFonts w:hint="eastAsia" w:ascii="宋体" w:hAnsi="宋体" w:eastAsia="宋体"/>
                <w:sz w:val="18"/>
                <w:szCs w:val="18"/>
              </w:rPr>
              <w:t>未发现有知识产权问题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35" w:type="dxa"/>
            <w:vAlign w:val="center"/>
          </w:tcPr>
          <w:p>
            <w:pPr>
              <w:pStyle w:val="4"/>
              <w:tabs>
                <w:tab w:val="clear" w:pos="4153"/>
                <w:tab w:val="clear" w:pos="8306"/>
              </w:tabs>
              <w:spacing w:line="360" w:lineRule="auto"/>
              <w:rPr>
                <w:rFonts w:ascii="宋体" w:hAnsi="宋体" w:eastAsia="宋体"/>
              </w:rPr>
            </w:pPr>
            <w:r>
              <w:rPr>
                <w:rFonts w:hint="eastAsia" w:ascii="宋体" w:hAnsi="宋体" w:eastAsia="宋体"/>
              </w:rPr>
              <w:t>牵头单位</w:t>
            </w:r>
          </w:p>
        </w:tc>
        <w:tc>
          <w:tcPr>
            <w:tcW w:w="4004" w:type="dxa"/>
            <w:gridSpan w:val="5"/>
            <w:vAlign w:val="center"/>
          </w:tcPr>
          <w:p>
            <w:pPr>
              <w:snapToGrid w:val="0"/>
              <w:spacing w:line="360" w:lineRule="auto"/>
              <w:jc w:val="center"/>
              <w:rPr>
                <w:rFonts w:ascii="宋体" w:hAnsi="宋体" w:eastAsia="宋体"/>
                <w:sz w:val="18"/>
                <w:szCs w:val="18"/>
              </w:rPr>
            </w:pPr>
          </w:p>
          <w:p>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pPr>
              <w:snapToGrid w:val="0"/>
              <w:spacing w:line="360" w:lineRule="auto"/>
              <w:rPr>
                <w:rFonts w:ascii="宋体" w:hAnsi="宋体" w:eastAsia="宋体"/>
                <w:sz w:val="18"/>
                <w:szCs w:val="18"/>
              </w:rPr>
            </w:pPr>
          </w:p>
          <w:p>
            <w:pPr>
              <w:snapToGrid w:val="0"/>
              <w:rPr>
                <w:rFonts w:ascii="宋体" w:hAnsi="宋体" w:eastAsia="宋体"/>
                <w:sz w:val="18"/>
                <w:szCs w:val="18"/>
              </w:rPr>
            </w:pPr>
            <w:r>
              <w:rPr>
                <w:rFonts w:hint="eastAsia" w:ascii="宋体" w:hAnsi="宋体" w:eastAsia="宋体"/>
                <w:sz w:val="18"/>
                <w:szCs w:val="18"/>
              </w:rPr>
              <w:t>（签字、盖公章）</w:t>
            </w:r>
          </w:p>
          <w:p>
            <w:pPr>
              <w:snapToGrid w:val="0"/>
              <w:rPr>
                <w:rFonts w:ascii="宋体" w:hAnsi="宋体" w:eastAsia="宋体"/>
                <w:sz w:val="18"/>
                <w:szCs w:val="18"/>
              </w:rPr>
            </w:pPr>
            <w:r>
              <w:rPr>
                <w:rFonts w:hint="eastAsia" w:ascii="宋体" w:hAnsi="宋体" w:eastAsia="宋体"/>
                <w:sz w:val="18"/>
                <w:szCs w:val="18"/>
              </w:rPr>
              <w:t xml:space="preserve">    月     日</w:t>
            </w:r>
          </w:p>
        </w:tc>
      </w:tr>
    </w:tbl>
    <w:p>
      <w:pPr>
        <w:snapToGrid w:val="0"/>
        <w:spacing w:before="156"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3MDMxNzRiMmM1ZTg5MTllOTczZDdiMzQ2OGIyY2IifQ=="/>
  </w:docVars>
  <w:rsids>
    <w:rsidRoot w:val="00747499"/>
    <w:rsid w:val="00095318"/>
    <w:rsid w:val="000B5DAF"/>
    <w:rsid w:val="000C3E00"/>
    <w:rsid w:val="001258F7"/>
    <w:rsid w:val="0017787A"/>
    <w:rsid w:val="00187EF0"/>
    <w:rsid w:val="001B3D0E"/>
    <w:rsid w:val="001D2DC8"/>
    <w:rsid w:val="00205B08"/>
    <w:rsid w:val="00277C24"/>
    <w:rsid w:val="00285761"/>
    <w:rsid w:val="00314295"/>
    <w:rsid w:val="0032471C"/>
    <w:rsid w:val="003258F0"/>
    <w:rsid w:val="00365C4C"/>
    <w:rsid w:val="00374490"/>
    <w:rsid w:val="0039725B"/>
    <w:rsid w:val="0040191B"/>
    <w:rsid w:val="004C3C26"/>
    <w:rsid w:val="004D02D2"/>
    <w:rsid w:val="0051151F"/>
    <w:rsid w:val="00526C73"/>
    <w:rsid w:val="00532F1D"/>
    <w:rsid w:val="00580F4E"/>
    <w:rsid w:val="00631028"/>
    <w:rsid w:val="00635C66"/>
    <w:rsid w:val="006837D1"/>
    <w:rsid w:val="006A43AC"/>
    <w:rsid w:val="006D7DCF"/>
    <w:rsid w:val="006E5ADF"/>
    <w:rsid w:val="006F0654"/>
    <w:rsid w:val="0073473E"/>
    <w:rsid w:val="0074534E"/>
    <w:rsid w:val="00747499"/>
    <w:rsid w:val="007B4B16"/>
    <w:rsid w:val="007B53DF"/>
    <w:rsid w:val="007C1E77"/>
    <w:rsid w:val="007C4CE8"/>
    <w:rsid w:val="00825BB5"/>
    <w:rsid w:val="00895F6F"/>
    <w:rsid w:val="008E77F9"/>
    <w:rsid w:val="009465F5"/>
    <w:rsid w:val="009623AB"/>
    <w:rsid w:val="009C1EBD"/>
    <w:rsid w:val="00A35A12"/>
    <w:rsid w:val="00A370CD"/>
    <w:rsid w:val="00A618D0"/>
    <w:rsid w:val="00A862EF"/>
    <w:rsid w:val="00AB4074"/>
    <w:rsid w:val="00AC1D66"/>
    <w:rsid w:val="00AD583E"/>
    <w:rsid w:val="00B17F48"/>
    <w:rsid w:val="00B448FC"/>
    <w:rsid w:val="00BA4DE8"/>
    <w:rsid w:val="00BB423A"/>
    <w:rsid w:val="00BC6842"/>
    <w:rsid w:val="00BF7300"/>
    <w:rsid w:val="00C15678"/>
    <w:rsid w:val="00C6797A"/>
    <w:rsid w:val="00C75AB7"/>
    <w:rsid w:val="00CA7FC0"/>
    <w:rsid w:val="00CC1E3D"/>
    <w:rsid w:val="00CD3E8D"/>
    <w:rsid w:val="00CE4205"/>
    <w:rsid w:val="00D10543"/>
    <w:rsid w:val="00D223EA"/>
    <w:rsid w:val="00D539C5"/>
    <w:rsid w:val="00D57123"/>
    <w:rsid w:val="00D66942"/>
    <w:rsid w:val="00D76EC5"/>
    <w:rsid w:val="00DD4FC5"/>
    <w:rsid w:val="00DE44B3"/>
    <w:rsid w:val="00E03E1D"/>
    <w:rsid w:val="00E364E5"/>
    <w:rsid w:val="00E443F0"/>
    <w:rsid w:val="00EB5909"/>
    <w:rsid w:val="00ED0143"/>
    <w:rsid w:val="00F22882"/>
    <w:rsid w:val="00F56FF8"/>
    <w:rsid w:val="00F7264B"/>
    <w:rsid w:val="00F7399E"/>
    <w:rsid w:val="00F82A02"/>
    <w:rsid w:val="12B677C2"/>
    <w:rsid w:val="189E4EAD"/>
    <w:rsid w:val="282D0768"/>
    <w:rsid w:val="2BF61FAE"/>
    <w:rsid w:val="3B693B3E"/>
    <w:rsid w:val="48D30D7D"/>
    <w:rsid w:val="512A590C"/>
    <w:rsid w:val="52A713E2"/>
    <w:rsid w:val="5A0A04CC"/>
    <w:rsid w:val="5F13572D"/>
    <w:rsid w:val="605A6FE1"/>
    <w:rsid w:val="7DC7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annotation subject"/>
    <w:basedOn w:val="2"/>
    <w:next w:val="2"/>
    <w:link w:val="13"/>
    <w:semiHidden/>
    <w:unhideWhenUsed/>
    <w:uiPriority w:val="99"/>
    <w:rPr>
      <w:b/>
      <w:bCs/>
    </w:rPr>
  </w:style>
  <w:style w:type="character" w:styleId="8">
    <w:name w:val="annotation reference"/>
    <w:basedOn w:val="7"/>
    <w:semiHidden/>
    <w:unhideWhenUsed/>
    <w:uiPriority w:val="99"/>
    <w:rPr>
      <w:sz w:val="21"/>
      <w:szCs w:val="21"/>
    </w:rPr>
  </w:style>
  <w:style w:type="character" w:customStyle="1" w:styleId="9">
    <w:name w:val="页眉 字符"/>
    <w:basedOn w:val="7"/>
    <w:link w:val="4"/>
    <w:qFormat/>
    <w:uiPriority w:val="0"/>
    <w:rPr>
      <w:sz w:val="18"/>
      <w:szCs w:val="18"/>
    </w:rPr>
  </w:style>
  <w:style w:type="character" w:customStyle="1" w:styleId="10">
    <w:name w:val="页脚 字符"/>
    <w:basedOn w:val="7"/>
    <w:link w:val="3"/>
    <w:semiHidden/>
    <w:qFormat/>
    <w:uiPriority w:val="99"/>
    <w:rPr>
      <w:sz w:val="18"/>
      <w:szCs w:val="18"/>
    </w:rPr>
  </w:style>
  <w:style w:type="paragraph" w:customStyle="1" w:styleId="11">
    <w:name w:val="Revision"/>
    <w:hidden/>
    <w:unhideWhenUsed/>
    <w:uiPriority w:val="99"/>
    <w:rPr>
      <w:rFonts w:ascii="Times New Roman" w:hAnsi="Times New Roman" w:eastAsia="仿宋_GB2312" w:cs="Times New Roman"/>
      <w:kern w:val="2"/>
      <w:sz w:val="28"/>
      <w:lang w:val="en-US" w:eastAsia="zh-CN" w:bidi="ar-SA"/>
    </w:rPr>
  </w:style>
  <w:style w:type="character" w:customStyle="1" w:styleId="12">
    <w:name w:val="批注文字 字符"/>
    <w:basedOn w:val="7"/>
    <w:link w:val="2"/>
    <w:semiHidden/>
    <w:uiPriority w:val="99"/>
    <w:rPr>
      <w:rFonts w:ascii="Times New Roman" w:hAnsi="Times New Roman" w:eastAsia="仿宋_GB2312" w:cs="Times New Roman"/>
      <w:kern w:val="2"/>
      <w:sz w:val="28"/>
    </w:rPr>
  </w:style>
  <w:style w:type="character" w:customStyle="1" w:styleId="13">
    <w:name w:val="批注主题 字符"/>
    <w:basedOn w:val="12"/>
    <w:link w:val="5"/>
    <w:semiHidden/>
    <w:uiPriority w:val="99"/>
    <w:rPr>
      <w:rFonts w:ascii="Times New Roman" w:hAnsi="Times New Roman" w:eastAsia="仿宋_GB2312" w:cs="Times New Roman"/>
      <w:b/>
      <w:bCs/>
      <w:kern w:val="2"/>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3E925-47CF-474D-9F6F-A05909F2272F}">
  <ds:schemaRefs/>
</ds:datastoreItem>
</file>

<file path=docProps/app.xml><?xml version="1.0" encoding="utf-8"?>
<Properties xmlns="http://schemas.openxmlformats.org/officeDocument/2006/extended-properties" xmlns:vt="http://schemas.openxmlformats.org/officeDocument/2006/docPropsVTypes">
  <Template>Normal</Template>
  <Pages>3</Pages>
  <Words>594</Words>
  <Characters>3386</Characters>
  <Lines>28</Lines>
  <Paragraphs>7</Paragraphs>
  <TotalTime>15</TotalTime>
  <ScaleCrop>false</ScaleCrop>
  <LinksUpToDate>false</LinksUpToDate>
  <CharactersWithSpaces>3973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yq</cp:lastModifiedBy>
  <dcterms:modified xsi:type="dcterms:W3CDTF">2024-01-06T00:23:34Z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75A40347E55B47FCA173C49CE6DA2AFD_13</vt:lpwstr>
  </property>
</Properties>
</file>